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56" w:rsidRPr="006A4A67" w:rsidRDefault="00314E56" w:rsidP="006A4A67">
      <w:pPr>
        <w:pStyle w:val="Title"/>
        <w:jc w:val="center"/>
      </w:pPr>
      <w:r>
        <w:t xml:space="preserve">Seminar Agrar- und Marktpolitik </w:t>
      </w:r>
      <w:r>
        <w:br/>
        <w:t>WiSe 2010/2011</w:t>
      </w:r>
      <w:r>
        <w:br/>
        <w:t xml:space="preserve">Internationale </w:t>
      </w:r>
      <w:r w:rsidRPr="006A4A67">
        <w:t>Agrarmärkte</w:t>
      </w:r>
    </w:p>
    <w:p w:rsidR="00314E56" w:rsidRDefault="00314E56" w:rsidP="006A4A67">
      <w:pPr>
        <w:pStyle w:val="Heading1"/>
      </w:pPr>
      <w:r>
        <w:t>Block A: Gesamtwirtschaftlicher Hintergrund</w:t>
      </w:r>
    </w:p>
    <w:p w:rsidR="00314E56" w:rsidRPr="00FE6D20" w:rsidRDefault="00314E56" w:rsidP="00FE6D20"/>
    <w:p w:rsidR="00314E56" w:rsidRDefault="00314E56" w:rsidP="006A4A67">
      <w:pPr>
        <w:pStyle w:val="Heading2"/>
      </w:pPr>
      <w:r>
        <w:t>Internationale Kapitalmärkte</w:t>
      </w:r>
    </w:p>
    <w:p w:rsidR="00314E56" w:rsidRDefault="00314E56" w:rsidP="006A4A67">
      <w:pPr>
        <w:pStyle w:val="ListParagraph"/>
        <w:numPr>
          <w:ilvl w:val="0"/>
          <w:numId w:val="2"/>
        </w:numPr>
      </w:pPr>
      <w:r>
        <w:t xml:space="preserve">Finanzierung im internationalen Agrarhandel </w:t>
      </w:r>
    </w:p>
    <w:p w:rsidR="00314E56" w:rsidRDefault="00314E56" w:rsidP="006A4A67">
      <w:pPr>
        <w:pStyle w:val="ListParagraph"/>
        <w:numPr>
          <w:ilvl w:val="0"/>
          <w:numId w:val="2"/>
        </w:numPr>
      </w:pPr>
      <w:r>
        <w:t xml:space="preserve">London Interbank Offered Rate (LIBOR) und Agrarpreise </w:t>
      </w:r>
    </w:p>
    <w:p w:rsidR="00314E56" w:rsidRDefault="00314E56" w:rsidP="006A4A67">
      <w:pPr>
        <w:pStyle w:val="ListParagraph"/>
        <w:numPr>
          <w:ilvl w:val="0"/>
          <w:numId w:val="2"/>
        </w:numPr>
      </w:pPr>
      <w:r>
        <w:t xml:space="preserve">Spekulation auf Warenterminmärkten und Agrarpreise </w:t>
      </w:r>
    </w:p>
    <w:p w:rsidR="00314E56" w:rsidRDefault="00314E56" w:rsidP="005D3DE1">
      <w:pPr>
        <w:pStyle w:val="Heading2"/>
      </w:pPr>
      <w:r>
        <w:t>Konsequenzen Wirtschafts- und Finanzkrise</w:t>
      </w:r>
      <w:r w:rsidRPr="005D3DE1">
        <w:t xml:space="preserve">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Konsequenzen der Wirtschafts- und Finanzkrise für die Agrarmärkte: EU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 w:rsidRPr="003E5FCD">
        <w:t xml:space="preserve">Konsequenzen der Wirtschafts- und Finanzkrise für die Agrarmärkte: Entwicklungsländer </w:t>
      </w:r>
    </w:p>
    <w:p w:rsidR="00314E56" w:rsidRDefault="00314E56" w:rsidP="00BF6168">
      <w:pPr>
        <w:pStyle w:val="ListParagraph"/>
        <w:numPr>
          <w:ilvl w:val="0"/>
          <w:numId w:val="2"/>
        </w:numPr>
      </w:pPr>
      <w:r w:rsidRPr="00FF3F73">
        <w:t xml:space="preserve">Die Rolle der Weltbank und des Internationalen Währungsfonds </w:t>
      </w:r>
      <w:r>
        <w:t xml:space="preserve"> </w:t>
      </w:r>
    </w:p>
    <w:p w:rsidR="00314E56" w:rsidRDefault="00314E56" w:rsidP="005D3DE1">
      <w:pPr>
        <w:pStyle w:val="Heading1"/>
      </w:pPr>
      <w:r>
        <w:t>Block B: Agrarhandelspolitik</w:t>
      </w:r>
    </w:p>
    <w:p w:rsidR="00314E56" w:rsidRPr="00ED772C" w:rsidRDefault="00314E56" w:rsidP="00ED772C">
      <w:r>
        <w:t>Instrumente und Protektionsmessung</w:t>
      </w:r>
    </w:p>
    <w:p w:rsidR="00314E56" w:rsidRPr="00A01DAE" w:rsidRDefault="00314E56" w:rsidP="005D3DE1">
      <w:pPr>
        <w:pStyle w:val="ListParagraph"/>
        <w:numPr>
          <w:ilvl w:val="0"/>
          <w:numId w:val="2"/>
        </w:numPr>
        <w:rPr>
          <w:lang w:val="en-US"/>
        </w:rPr>
      </w:pPr>
      <w:r w:rsidRPr="00E7790A">
        <w:t>Import-State Trading E</w:t>
      </w:r>
      <w:r>
        <w:t>nterprises</w:t>
      </w:r>
    </w:p>
    <w:p w:rsidR="00314E56" w:rsidRPr="00A01DAE" w:rsidRDefault="00314E56" w:rsidP="005D3DE1">
      <w:pPr>
        <w:pStyle w:val="ListParagraph"/>
        <w:numPr>
          <w:ilvl w:val="0"/>
          <w:numId w:val="2"/>
        </w:numPr>
        <w:rPr>
          <w:lang w:val="en-US"/>
        </w:rPr>
      </w:pPr>
      <w:r w:rsidRPr="00A01DAE">
        <w:rPr>
          <w:lang w:val="en-US"/>
        </w:rPr>
        <w:t xml:space="preserve">Export-State Trading Enterprises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Exportsteuern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Standards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PSE: Theorie &amp; Empirie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Handelswirkung von entkoppelten Direkt Zahlungen </w:t>
      </w:r>
    </w:p>
    <w:p w:rsidR="00314E56" w:rsidRDefault="00314E56" w:rsidP="005D3DE1">
      <w:pPr>
        <w:pStyle w:val="Heading2"/>
      </w:pPr>
    </w:p>
    <w:p w:rsidR="00314E56" w:rsidRDefault="00314E56" w:rsidP="005D3DE1">
      <w:pPr>
        <w:pStyle w:val="Heading2"/>
      </w:pPr>
      <w:r>
        <w:t>Regionale Handelsabkommen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Freihandelsabkommen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EBA / EPA </w:t>
      </w:r>
    </w:p>
    <w:p w:rsidR="00314E56" w:rsidRDefault="00314E56" w:rsidP="005D3DE1">
      <w:pPr>
        <w:pStyle w:val="Heading1"/>
      </w:pPr>
      <w:r>
        <w:t>WTO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State of Play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Gruppierungen in der WTO </w:t>
      </w:r>
    </w:p>
    <w:p w:rsidR="00314E56" w:rsidRPr="004F3A7C" w:rsidRDefault="00314E56" w:rsidP="005D3DE1">
      <w:pPr>
        <w:pStyle w:val="ListParagraph"/>
        <w:numPr>
          <w:ilvl w:val="0"/>
          <w:numId w:val="2"/>
        </w:numPr>
        <w:rPr>
          <w:lang w:val="en-US"/>
        </w:rPr>
      </w:pPr>
      <w:r w:rsidRPr="004F3A7C">
        <w:rPr>
          <w:lang w:val="en-US"/>
        </w:rPr>
        <w:t xml:space="preserve">Dispute Settlement Process: Aktuelles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Special safeguard mechanism: Aktuelle Vorschläge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Quersubventionierung in der WTO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Special products </w:t>
      </w:r>
    </w:p>
    <w:p w:rsidR="00314E56" w:rsidRDefault="00314E56" w:rsidP="00D14BAC">
      <w:pPr>
        <w:pStyle w:val="ListParagraph"/>
        <w:numPr>
          <w:ilvl w:val="0"/>
          <w:numId w:val="2"/>
        </w:numPr>
      </w:pPr>
      <w:r>
        <w:t xml:space="preserve">Sensitive products </w:t>
      </w:r>
    </w:p>
    <w:p w:rsidR="00314E56" w:rsidRPr="00191373" w:rsidRDefault="00314E56" w:rsidP="00D14BAC">
      <w:pPr>
        <w:pStyle w:val="ListParagraph"/>
        <w:numPr>
          <w:ilvl w:val="0"/>
          <w:numId w:val="2"/>
        </w:numPr>
      </w:pPr>
      <w:r>
        <w:t xml:space="preserve">Entkopplungspolitiken: Internationaler Vergleich </w:t>
      </w:r>
    </w:p>
    <w:p w:rsidR="00314E56" w:rsidRDefault="00314E56" w:rsidP="006A4A67">
      <w:pPr>
        <w:pStyle w:val="Heading1"/>
      </w:pPr>
      <w:r>
        <w:t>Block C: Aktuelle Agrarmarktentwicklungen</w:t>
      </w:r>
    </w:p>
    <w:p w:rsidR="00314E56" w:rsidRPr="00FE6D20" w:rsidRDefault="00314E56" w:rsidP="00FE6D20"/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Prognosevergleich FAO/OECD versus FAPRI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Weizen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Grobgetreide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Milch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Rindfleisch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Schweinefleisch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Geflügel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Ölsaaten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Baumwolle </w:t>
      </w:r>
    </w:p>
    <w:p w:rsidR="00314E56" w:rsidRDefault="00314E56" w:rsidP="005D3DE1">
      <w:pPr>
        <w:pStyle w:val="ListParagraph"/>
        <w:numPr>
          <w:ilvl w:val="0"/>
          <w:numId w:val="2"/>
        </w:numPr>
      </w:pPr>
      <w:r>
        <w:t xml:space="preserve">Zucker </w:t>
      </w:r>
    </w:p>
    <w:p w:rsidR="00314E56" w:rsidRPr="00FF3F73" w:rsidRDefault="00314E56" w:rsidP="005D3DE1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t xml:space="preserve">Biotreibstoffe </w:t>
      </w:r>
    </w:p>
    <w:p w:rsidR="00314E56" w:rsidRDefault="00314E56" w:rsidP="00BF6168">
      <w:pPr>
        <w:pStyle w:val="ListParagraph"/>
        <w:numPr>
          <w:ilvl w:val="0"/>
          <w:numId w:val="2"/>
        </w:numPr>
      </w:pPr>
      <w:r>
        <w:t xml:space="preserve">Kaffee </w:t>
      </w:r>
    </w:p>
    <w:p w:rsidR="00314E56" w:rsidRPr="00FF3F73" w:rsidRDefault="00314E56" w:rsidP="00BF6168">
      <w:pPr>
        <w:pStyle w:val="ListParagraph"/>
        <w:numPr>
          <w:ilvl w:val="0"/>
          <w:numId w:val="2"/>
        </w:numPr>
      </w:pPr>
      <w:r w:rsidRPr="00FF3F73">
        <w:t xml:space="preserve">Markt für Ökoprodukte </w:t>
      </w:r>
    </w:p>
    <w:p w:rsidR="00314E56" w:rsidRPr="00A353D9" w:rsidRDefault="00314E56" w:rsidP="00BF6168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FF3F73">
        <w:t>Markt für fair gehandelte Produkte</w:t>
      </w:r>
      <w:r>
        <w:t xml:space="preserve"> </w:t>
      </w:r>
    </w:p>
    <w:p w:rsidR="00314E56" w:rsidRDefault="00314E56" w:rsidP="00E74836">
      <w:pPr>
        <w:pStyle w:val="ListParagraph"/>
        <w:numPr>
          <w:ilvl w:val="0"/>
          <w:numId w:val="2"/>
        </w:numPr>
      </w:pPr>
      <w:r w:rsidRPr="00FF3F73">
        <w:t>Markt für Umweltgüter am Beispiel der Leipziger Strombörse</w:t>
      </w:r>
      <w:r>
        <w:t xml:space="preserve"> </w:t>
      </w:r>
    </w:p>
    <w:p w:rsidR="00314E56" w:rsidRDefault="00314E56" w:rsidP="00E74836">
      <w:pPr>
        <w:pStyle w:val="ListParagraph"/>
      </w:pPr>
    </w:p>
    <w:sectPr w:rsidR="00314E56" w:rsidSect="00CE75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F5A25"/>
    <w:multiLevelType w:val="singleLevel"/>
    <w:tmpl w:val="5BD20A24"/>
    <w:name w:val="Callout Template"/>
    <w:lvl w:ilvl="0">
      <w:start w:val="1"/>
      <w:numFmt w:val="decimal"/>
      <w:suff w:val="space"/>
      <w:lvlText w:val="="/>
      <w:lvlJc w:val="left"/>
      <w:pPr>
        <w:ind w:left="200" w:hanging="200"/>
      </w:pPr>
      <w:rPr>
        <w:rFonts w:ascii="Webdings" w:hAnsi="Webdings" w:cs="Webdings"/>
        <w:sz w:val="16"/>
        <w:szCs w:val="16"/>
      </w:rPr>
    </w:lvl>
  </w:abstractNum>
  <w:abstractNum w:abstractNumId="1">
    <w:nsid w:val="2AD430D6"/>
    <w:multiLevelType w:val="hybridMultilevel"/>
    <w:tmpl w:val="8DEC2FFE"/>
    <w:lvl w:ilvl="0" w:tplc="9B488C7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C4D94"/>
    <w:multiLevelType w:val="hybridMultilevel"/>
    <w:tmpl w:val="C29091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01FB9"/>
    <w:multiLevelType w:val="hybridMultilevel"/>
    <w:tmpl w:val="5ADC38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D19"/>
    <w:multiLevelType w:val="hybridMultilevel"/>
    <w:tmpl w:val="9CD8AF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6DED"/>
    <w:multiLevelType w:val="multilevel"/>
    <w:tmpl w:val="CE4E1AC4"/>
    <w:lvl w:ilvl="0">
      <w:start w:val="1"/>
      <w:numFmt w:val="decimal"/>
      <w:pStyle w:val="MMTopic1"/>
      <w:suff w:val="space"/>
      <w:lvlText w:val="%1"/>
      <w:lvlJc w:val="left"/>
    </w:lvl>
    <w:lvl w:ilvl="1">
      <w:start w:val="1"/>
      <w:numFmt w:val="decimal"/>
      <w:pStyle w:val="MMTopic2"/>
      <w:suff w:val="space"/>
      <w:lvlText w:val="%1.%2"/>
      <w:lvlJc w:val="left"/>
    </w:lvl>
    <w:lvl w:ilvl="2">
      <w:start w:val="1"/>
      <w:numFmt w:val="decimal"/>
      <w:pStyle w:val="MMTopic3"/>
      <w:suff w:val="space"/>
      <w:lvlText w:val="%1.%2.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EF10892"/>
    <w:multiLevelType w:val="hybridMultilevel"/>
    <w:tmpl w:val="D08E90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D2A81"/>
    <w:multiLevelType w:val="hybridMultilevel"/>
    <w:tmpl w:val="C8B444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373"/>
    <w:rsid w:val="00036013"/>
    <w:rsid w:val="00047B08"/>
    <w:rsid w:val="00153B35"/>
    <w:rsid w:val="00191373"/>
    <w:rsid w:val="00212487"/>
    <w:rsid w:val="0022263E"/>
    <w:rsid w:val="00314E56"/>
    <w:rsid w:val="00334408"/>
    <w:rsid w:val="00344E59"/>
    <w:rsid w:val="00362090"/>
    <w:rsid w:val="0038773E"/>
    <w:rsid w:val="003D24C1"/>
    <w:rsid w:val="003E5FCD"/>
    <w:rsid w:val="00410AC3"/>
    <w:rsid w:val="00474B53"/>
    <w:rsid w:val="004F3A7C"/>
    <w:rsid w:val="005D3DE1"/>
    <w:rsid w:val="00663458"/>
    <w:rsid w:val="006A4A67"/>
    <w:rsid w:val="007445ED"/>
    <w:rsid w:val="007513BF"/>
    <w:rsid w:val="00766FB0"/>
    <w:rsid w:val="00795EA8"/>
    <w:rsid w:val="007B619E"/>
    <w:rsid w:val="00846FBF"/>
    <w:rsid w:val="00865459"/>
    <w:rsid w:val="008D517E"/>
    <w:rsid w:val="008E4B5F"/>
    <w:rsid w:val="009763AC"/>
    <w:rsid w:val="009D4055"/>
    <w:rsid w:val="009E083E"/>
    <w:rsid w:val="00A01DAE"/>
    <w:rsid w:val="00A100D8"/>
    <w:rsid w:val="00A13567"/>
    <w:rsid w:val="00A15642"/>
    <w:rsid w:val="00A177A1"/>
    <w:rsid w:val="00A353D9"/>
    <w:rsid w:val="00A52CD9"/>
    <w:rsid w:val="00AD633C"/>
    <w:rsid w:val="00B540FF"/>
    <w:rsid w:val="00B845FF"/>
    <w:rsid w:val="00BD78F3"/>
    <w:rsid w:val="00BE419A"/>
    <w:rsid w:val="00BF6168"/>
    <w:rsid w:val="00C46D15"/>
    <w:rsid w:val="00C76B0C"/>
    <w:rsid w:val="00CD168F"/>
    <w:rsid w:val="00CE756F"/>
    <w:rsid w:val="00D14BAC"/>
    <w:rsid w:val="00D42048"/>
    <w:rsid w:val="00DB5321"/>
    <w:rsid w:val="00E410B1"/>
    <w:rsid w:val="00E73CCA"/>
    <w:rsid w:val="00E74836"/>
    <w:rsid w:val="00E7790A"/>
    <w:rsid w:val="00EA7C90"/>
    <w:rsid w:val="00ED772C"/>
    <w:rsid w:val="00F65074"/>
    <w:rsid w:val="00F97CBE"/>
    <w:rsid w:val="00FE3481"/>
    <w:rsid w:val="00FE6D20"/>
    <w:rsid w:val="00FF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6A4A6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4A67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4A67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4A67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4A67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A4A67"/>
    <w:pPr>
      <w:spacing w:before="200" w:after="0"/>
      <w:outlineLvl w:val="4"/>
    </w:pPr>
    <w:rPr>
      <w:rFonts w:ascii="Cambria" w:hAnsi="Cambria" w:cs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A4A67"/>
    <w:pPr>
      <w:spacing w:after="0" w:line="271" w:lineRule="auto"/>
      <w:outlineLvl w:val="5"/>
    </w:pPr>
    <w:rPr>
      <w:rFonts w:ascii="Cambria" w:hAnsi="Cambria" w:cs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A4A67"/>
    <w:pPr>
      <w:spacing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6A4A67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A4A67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4A67"/>
    <w:rPr>
      <w:rFonts w:ascii="Cambria" w:hAnsi="Cambria" w:cs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6A4A67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A4A67"/>
    <w:rPr>
      <w:rFonts w:ascii="Cambria" w:hAnsi="Cambria" w:cs="Cambria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A4A67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A4A67"/>
    <w:rPr>
      <w:rFonts w:ascii="Cambria" w:hAnsi="Cambria" w:cs="Cambria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A4A67"/>
    <w:rPr>
      <w:rFonts w:ascii="Cambria" w:hAnsi="Cambria" w:cs="Cambria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A4A67"/>
    <w:rPr>
      <w:rFonts w:ascii="Cambria" w:hAnsi="Cambria" w:cs="Cambri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A4A67"/>
    <w:rPr>
      <w:rFonts w:ascii="Cambria" w:hAnsi="Cambria" w:cs="Cambria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A4A67"/>
    <w:rPr>
      <w:rFonts w:ascii="Cambria" w:hAnsi="Cambria" w:cs="Cambria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6A4A67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A4A67"/>
    <w:rPr>
      <w:rFonts w:ascii="Cambria" w:hAnsi="Cambria" w:cs="Cambria"/>
      <w:spacing w:val="5"/>
      <w:sz w:val="52"/>
      <w:szCs w:val="52"/>
    </w:rPr>
  </w:style>
  <w:style w:type="paragraph" w:customStyle="1" w:styleId="MMTitle">
    <w:name w:val="MM Title"/>
    <w:basedOn w:val="Title"/>
    <w:link w:val="MMTitleZchn"/>
    <w:uiPriority w:val="99"/>
    <w:rsid w:val="00D14BAC"/>
  </w:style>
  <w:style w:type="character" w:customStyle="1" w:styleId="MMTitleZchn">
    <w:name w:val="MM Title Zchn"/>
    <w:basedOn w:val="TitleChar"/>
    <w:link w:val="MMTitle"/>
    <w:uiPriority w:val="99"/>
    <w:rsid w:val="00D14BAC"/>
    <w:rPr>
      <w:color w:val="auto"/>
      <w:kern w:val="28"/>
    </w:rPr>
  </w:style>
  <w:style w:type="paragraph" w:customStyle="1" w:styleId="MMTopic1">
    <w:name w:val="MM Topic 1"/>
    <w:basedOn w:val="Heading1"/>
    <w:link w:val="MMTopic1Zchn"/>
    <w:uiPriority w:val="99"/>
    <w:rsid w:val="00D14BAC"/>
    <w:pPr>
      <w:numPr>
        <w:numId w:val="1"/>
      </w:numPr>
    </w:pPr>
  </w:style>
  <w:style w:type="character" w:customStyle="1" w:styleId="MMTopic1Zchn">
    <w:name w:val="MM Topic 1 Zchn"/>
    <w:basedOn w:val="Heading1Char"/>
    <w:link w:val="MMTopic1"/>
    <w:uiPriority w:val="99"/>
    <w:rsid w:val="00D14BAC"/>
    <w:rPr>
      <w:color w:val="auto"/>
    </w:rPr>
  </w:style>
  <w:style w:type="paragraph" w:customStyle="1" w:styleId="MMTopic2">
    <w:name w:val="MM Topic 2"/>
    <w:basedOn w:val="Heading2"/>
    <w:link w:val="MMTopic2Zchn"/>
    <w:uiPriority w:val="99"/>
    <w:rsid w:val="00D14BAC"/>
    <w:pPr>
      <w:numPr>
        <w:ilvl w:val="1"/>
        <w:numId w:val="1"/>
      </w:numPr>
    </w:pPr>
  </w:style>
  <w:style w:type="character" w:customStyle="1" w:styleId="MMTopic2Zchn">
    <w:name w:val="MM Topic 2 Zchn"/>
    <w:basedOn w:val="Heading2Char"/>
    <w:link w:val="MMTopic2"/>
    <w:uiPriority w:val="99"/>
    <w:rsid w:val="00D14BAC"/>
    <w:rPr>
      <w:color w:val="auto"/>
    </w:rPr>
  </w:style>
  <w:style w:type="paragraph" w:customStyle="1" w:styleId="MMTopic3">
    <w:name w:val="MM Topic 3"/>
    <w:basedOn w:val="Heading3"/>
    <w:link w:val="MMTopic3Zchn"/>
    <w:uiPriority w:val="99"/>
    <w:rsid w:val="00D14BAC"/>
    <w:pPr>
      <w:numPr>
        <w:ilvl w:val="2"/>
        <w:numId w:val="1"/>
      </w:numPr>
    </w:pPr>
  </w:style>
  <w:style w:type="character" w:customStyle="1" w:styleId="MMTopic3Zchn">
    <w:name w:val="MM Topic 3 Zchn"/>
    <w:basedOn w:val="Heading3Char"/>
    <w:link w:val="MMTopic3"/>
    <w:uiPriority w:val="99"/>
    <w:rsid w:val="00D14BAC"/>
    <w:rPr>
      <w:color w:val="auto"/>
    </w:rPr>
  </w:style>
  <w:style w:type="paragraph" w:styleId="Subtitle">
    <w:name w:val="Subtitle"/>
    <w:basedOn w:val="Normal"/>
    <w:next w:val="Normal"/>
    <w:link w:val="SubtitleChar"/>
    <w:uiPriority w:val="99"/>
    <w:qFormat/>
    <w:rsid w:val="006A4A67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A4A67"/>
    <w:rPr>
      <w:rFonts w:ascii="Cambria" w:hAnsi="Cambria" w:cs="Cambria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6A4A67"/>
    <w:rPr>
      <w:b/>
      <w:bCs/>
    </w:rPr>
  </w:style>
  <w:style w:type="character" w:styleId="Emphasis">
    <w:name w:val="Emphasis"/>
    <w:basedOn w:val="DefaultParagraphFont"/>
    <w:uiPriority w:val="99"/>
    <w:qFormat/>
    <w:rsid w:val="006A4A67"/>
    <w:rPr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6A4A67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6A4A67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6A4A6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6A4A6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A4A6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6A4A67"/>
    <w:rPr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6A4A67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6A4A67"/>
    <w:rPr>
      <w:b/>
      <w:bCs/>
    </w:rPr>
  </w:style>
  <w:style w:type="character" w:styleId="SubtleReference">
    <w:name w:val="Subtle Reference"/>
    <w:basedOn w:val="DefaultParagraphFont"/>
    <w:uiPriority w:val="99"/>
    <w:qFormat/>
    <w:rsid w:val="006A4A67"/>
    <w:rPr>
      <w:smallCaps/>
    </w:rPr>
  </w:style>
  <w:style w:type="character" w:styleId="IntenseReference">
    <w:name w:val="Intense Reference"/>
    <w:basedOn w:val="DefaultParagraphFont"/>
    <w:uiPriority w:val="99"/>
    <w:qFormat/>
    <w:rsid w:val="006A4A67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6A4A6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6A4A6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196</Words>
  <Characters>1240</Characters>
  <Application>Microsoft Office Outlook</Application>
  <DocSecurity>0</DocSecurity>
  <Lines>0</Lines>
  <Paragraphs>0</Paragraphs>
  <ScaleCrop>false</ScaleCrop>
  <Company>University of Göttingen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Agrar- und Marktpolitik </dc:title>
  <dc:subject/>
  <dc:creator>Bernhard Bruemmer</dc:creator>
  <cp:keywords/>
  <dc:description/>
  <cp:lastModifiedBy>Antje Wagener</cp:lastModifiedBy>
  <cp:revision>3</cp:revision>
  <dcterms:created xsi:type="dcterms:W3CDTF">2010-10-13T09:35:00Z</dcterms:created>
  <dcterms:modified xsi:type="dcterms:W3CDTF">2010-10-13T09:40:00Z</dcterms:modified>
</cp:coreProperties>
</file>