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219" w:rsidRDefault="00DD27F1">
      <w:pPr>
        <w:framePr w:h="0" w:hSpace="141" w:wrap="around" w:vAnchor="text" w:hAnchor="page" w:x="9100" w:y="-6"/>
        <w:rPr>
          <w:rFonts w:ascii="Times New Roman" w:hAnsi="Times New Roman"/>
        </w:rPr>
      </w:pPr>
      <w:r>
        <w:rPr>
          <w:rFonts w:ascii="Times New Roman" w:hAnsi="Times New Roman"/>
          <w:noProof/>
        </w:rPr>
        <w:drawing>
          <wp:inline distT="0" distB="0" distL="0" distR="0">
            <wp:extent cx="1162050" cy="18002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2050" cy="1800225"/>
                    </a:xfrm>
                    <a:prstGeom prst="rect">
                      <a:avLst/>
                    </a:prstGeom>
                    <a:noFill/>
                    <a:ln>
                      <a:noFill/>
                    </a:ln>
                  </pic:spPr>
                </pic:pic>
              </a:graphicData>
            </a:graphic>
          </wp:inline>
        </w:drawing>
      </w:r>
    </w:p>
    <w:p w:rsidR="00D80219" w:rsidRDefault="00D80219">
      <w:pPr>
        <w:spacing w:after="120"/>
        <w:rPr>
          <w:rFonts w:ascii="Times New Roman" w:hAnsi="Times New Roman"/>
          <w:b/>
          <w:sz w:val="30"/>
          <w:szCs w:val="30"/>
        </w:rPr>
      </w:pPr>
      <w:bookmarkStart w:id="0" w:name="_GoBack"/>
      <w:bookmarkEnd w:id="0"/>
      <w:r>
        <w:rPr>
          <w:rFonts w:ascii="Times New Roman" w:hAnsi="Times New Roman"/>
          <w:b/>
          <w:sz w:val="30"/>
          <w:szCs w:val="30"/>
        </w:rPr>
        <w:t>PHILOSOPHISCHES SEMINAR</w:t>
      </w:r>
    </w:p>
    <w:p w:rsidR="00D80219" w:rsidRDefault="00D80219">
      <w:pPr>
        <w:spacing w:after="120"/>
        <w:rPr>
          <w:rFonts w:ascii="Times New Roman" w:hAnsi="Times New Roman"/>
          <w:b/>
          <w:sz w:val="30"/>
          <w:szCs w:val="30"/>
        </w:rPr>
      </w:pPr>
      <w:r>
        <w:rPr>
          <w:rFonts w:ascii="Times New Roman" w:hAnsi="Times New Roman"/>
          <w:b/>
          <w:sz w:val="30"/>
          <w:szCs w:val="30"/>
        </w:rPr>
        <w:t>DER GEORG-AUGUST-UNIVERSITÄT GÖTTINGEN</w:t>
      </w:r>
    </w:p>
    <w:p w:rsidR="00D80219" w:rsidRDefault="00D80219">
      <w:pPr>
        <w:rPr>
          <w:rFonts w:ascii="Times New Roman" w:hAnsi="Times New Roman"/>
          <w:sz w:val="28"/>
          <w:szCs w:val="28"/>
        </w:rPr>
      </w:pPr>
      <w:r>
        <w:rPr>
          <w:rFonts w:ascii="Times New Roman" w:hAnsi="Times New Roman"/>
          <w:sz w:val="28"/>
          <w:szCs w:val="28"/>
        </w:rPr>
        <w:t>Humboldtallee 19, 37073 Göttingen</w:t>
      </w:r>
    </w:p>
    <w:p w:rsidR="00D80219" w:rsidRDefault="00D80219">
      <w:pPr>
        <w:rPr>
          <w:rFonts w:ascii="Times New Roman" w:hAnsi="Times New Roman"/>
        </w:rPr>
      </w:pPr>
      <w:r>
        <w:rPr>
          <w:rFonts w:ascii="Times New Roman" w:hAnsi="Times New Roman"/>
        </w:rPr>
        <w:t>Tel. (0551)39-4774/-4742/-4722</w:t>
      </w:r>
    </w:p>
    <w:p w:rsidR="00D80219" w:rsidRDefault="00D80219">
      <w:pPr>
        <w:rPr>
          <w:rFonts w:ascii="Times New Roman" w:hAnsi="Times New Roman"/>
        </w:rPr>
      </w:pPr>
    </w:p>
    <w:p w:rsidR="00746E37" w:rsidRPr="00A63193" w:rsidRDefault="00D80219" w:rsidP="00434EB2">
      <w:pPr>
        <w:tabs>
          <w:tab w:val="left" w:pos="6663"/>
        </w:tabs>
        <w:jc w:val="center"/>
        <w:rPr>
          <w:rFonts w:ascii="Times New Roman" w:hAnsi="Times New Roman"/>
          <w:b/>
          <w:sz w:val="56"/>
          <w:szCs w:val="56"/>
          <w:lang w:val="en-US"/>
        </w:rPr>
      </w:pPr>
      <w:r w:rsidRPr="00FA2850">
        <w:rPr>
          <w:rFonts w:ascii="Times New Roman" w:hAnsi="Times New Roman"/>
          <w:sz w:val="16"/>
          <w:szCs w:val="16"/>
        </w:rPr>
        <w:br/>
      </w:r>
      <w:r w:rsidR="00A63193" w:rsidRPr="00A63193">
        <w:rPr>
          <w:rFonts w:ascii="Times New Roman" w:hAnsi="Times New Roman"/>
          <w:b/>
          <w:sz w:val="56"/>
          <w:szCs w:val="56"/>
          <w:lang w:val="en-US"/>
        </w:rPr>
        <w:t>G A S T V O R T R A G</w:t>
      </w:r>
    </w:p>
    <w:p w:rsidR="00A63193" w:rsidRDefault="00A63193" w:rsidP="00A63193">
      <w:pPr>
        <w:tabs>
          <w:tab w:val="left" w:pos="6663"/>
        </w:tabs>
        <w:rPr>
          <w:rFonts w:ascii="Times New Roman" w:hAnsi="Times New Roman"/>
          <w:b/>
          <w:sz w:val="48"/>
          <w:szCs w:val="48"/>
          <w:lang w:val="en-US"/>
        </w:rPr>
      </w:pPr>
    </w:p>
    <w:p w:rsidR="00A63193" w:rsidRPr="00A63193" w:rsidRDefault="00A63193" w:rsidP="00A63193">
      <w:pPr>
        <w:tabs>
          <w:tab w:val="left" w:pos="6663"/>
        </w:tabs>
        <w:rPr>
          <w:rFonts w:ascii="Times New Roman" w:hAnsi="Times New Roman"/>
          <w:b/>
          <w:sz w:val="48"/>
          <w:szCs w:val="48"/>
          <w:lang w:val="en-US"/>
        </w:rPr>
      </w:pPr>
    </w:p>
    <w:tbl>
      <w:tblPr>
        <w:tblStyle w:val="Tabellenras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7"/>
        <w:gridCol w:w="560"/>
        <w:gridCol w:w="5198"/>
      </w:tblGrid>
      <w:tr w:rsidR="00A63193" w:rsidRPr="00EB73E5" w:rsidTr="00EB73E5">
        <w:tc>
          <w:tcPr>
            <w:tcW w:w="4253" w:type="dxa"/>
          </w:tcPr>
          <w:p w:rsidR="00A63193" w:rsidRDefault="00205015" w:rsidP="00A63193">
            <w:pPr>
              <w:tabs>
                <w:tab w:val="left" w:pos="6663"/>
              </w:tabs>
              <w:rPr>
                <w:rFonts w:ascii="Times New Roman" w:hAnsi="Times New Roman"/>
                <w:b/>
                <w:sz w:val="32"/>
                <w:szCs w:val="32"/>
              </w:rPr>
            </w:pPr>
            <w:r>
              <w:rPr>
                <w:rFonts w:ascii="Times New Roman" w:hAnsi="Times New Roman"/>
                <w:b/>
                <w:sz w:val="32"/>
                <w:szCs w:val="32"/>
              </w:rPr>
              <w:t>M</w:t>
            </w:r>
            <w:r w:rsidR="00EB73E5">
              <w:rPr>
                <w:rFonts w:ascii="Times New Roman" w:hAnsi="Times New Roman"/>
                <w:b/>
                <w:sz w:val="32"/>
                <w:szCs w:val="32"/>
              </w:rPr>
              <w:t>ittwoch</w:t>
            </w:r>
            <w:r w:rsidR="00A63193" w:rsidRPr="00746E37">
              <w:rPr>
                <w:rFonts w:ascii="Times New Roman" w:hAnsi="Times New Roman"/>
                <w:b/>
                <w:sz w:val="32"/>
                <w:szCs w:val="32"/>
              </w:rPr>
              <w:t xml:space="preserve">, den </w:t>
            </w:r>
            <w:r w:rsidR="00E66027">
              <w:rPr>
                <w:rFonts w:ascii="Times New Roman" w:hAnsi="Times New Roman"/>
                <w:b/>
                <w:sz w:val="32"/>
                <w:szCs w:val="32"/>
              </w:rPr>
              <w:t>20.07</w:t>
            </w:r>
            <w:r w:rsidR="00EB73E5">
              <w:rPr>
                <w:rFonts w:ascii="Times New Roman" w:hAnsi="Times New Roman"/>
                <w:b/>
                <w:sz w:val="32"/>
                <w:szCs w:val="32"/>
              </w:rPr>
              <w:t>.2016</w:t>
            </w:r>
          </w:p>
          <w:p w:rsidR="00A63193" w:rsidRPr="00E647D8" w:rsidRDefault="00E66027" w:rsidP="00E66027">
            <w:pPr>
              <w:tabs>
                <w:tab w:val="left" w:pos="6663"/>
              </w:tabs>
              <w:rPr>
                <w:rFonts w:ascii="Times New Roman" w:hAnsi="Times New Roman"/>
                <w:b/>
                <w:sz w:val="32"/>
                <w:szCs w:val="32"/>
              </w:rPr>
            </w:pPr>
            <w:r>
              <w:rPr>
                <w:rFonts w:ascii="Times New Roman" w:hAnsi="Times New Roman"/>
                <w:b/>
                <w:sz w:val="32"/>
                <w:szCs w:val="32"/>
              </w:rPr>
              <w:t>14.15 – 15.45 Uhr</w:t>
            </w:r>
          </w:p>
        </w:tc>
        <w:tc>
          <w:tcPr>
            <w:tcW w:w="567" w:type="dxa"/>
          </w:tcPr>
          <w:p w:rsidR="00A63193" w:rsidRPr="00E647D8" w:rsidRDefault="00A63193" w:rsidP="00A63193">
            <w:pPr>
              <w:tabs>
                <w:tab w:val="left" w:pos="6663"/>
              </w:tabs>
              <w:rPr>
                <w:rFonts w:ascii="Times New Roman" w:hAnsi="Times New Roman"/>
                <w:b/>
                <w:sz w:val="32"/>
                <w:szCs w:val="32"/>
              </w:rPr>
            </w:pPr>
          </w:p>
        </w:tc>
        <w:tc>
          <w:tcPr>
            <w:tcW w:w="5275" w:type="dxa"/>
          </w:tcPr>
          <w:p w:rsidR="00A63193" w:rsidRPr="00EB73E5" w:rsidRDefault="00E66027" w:rsidP="00A63193">
            <w:pPr>
              <w:tabs>
                <w:tab w:val="left" w:pos="6663"/>
              </w:tabs>
              <w:rPr>
                <w:rFonts w:ascii="Times New Roman" w:hAnsi="Times New Roman"/>
                <w:b/>
                <w:sz w:val="48"/>
                <w:szCs w:val="48"/>
              </w:rPr>
            </w:pPr>
            <w:r>
              <w:rPr>
                <w:rFonts w:ascii="Times New Roman" w:hAnsi="Times New Roman"/>
                <w:b/>
                <w:sz w:val="48"/>
                <w:szCs w:val="48"/>
              </w:rPr>
              <w:t xml:space="preserve">André </w:t>
            </w:r>
            <w:proofErr w:type="spellStart"/>
            <w:r>
              <w:rPr>
                <w:rFonts w:ascii="Times New Roman" w:hAnsi="Times New Roman"/>
                <w:b/>
                <w:sz w:val="48"/>
                <w:szCs w:val="48"/>
              </w:rPr>
              <w:t>Grahle</w:t>
            </w:r>
            <w:proofErr w:type="spellEnd"/>
          </w:p>
          <w:p w:rsidR="00A63193" w:rsidRPr="00EB73E5" w:rsidRDefault="00E66027" w:rsidP="00922CAE">
            <w:pPr>
              <w:tabs>
                <w:tab w:val="left" w:pos="6663"/>
              </w:tabs>
              <w:rPr>
                <w:rFonts w:ascii="Times New Roman" w:hAnsi="Times New Roman"/>
                <w:b/>
                <w:sz w:val="32"/>
                <w:szCs w:val="32"/>
              </w:rPr>
            </w:pPr>
            <w:r>
              <w:rPr>
                <w:rFonts w:ascii="Times New Roman" w:hAnsi="Times New Roman"/>
                <w:b/>
                <w:sz w:val="32"/>
                <w:szCs w:val="32"/>
              </w:rPr>
              <w:t>LMU München</w:t>
            </w:r>
          </w:p>
        </w:tc>
      </w:tr>
      <w:tr w:rsidR="00A63193" w:rsidRPr="00EB73E5" w:rsidTr="00EB73E5">
        <w:tc>
          <w:tcPr>
            <w:tcW w:w="4253" w:type="dxa"/>
          </w:tcPr>
          <w:p w:rsidR="00A63193" w:rsidRPr="00EB73E5" w:rsidRDefault="00A63193" w:rsidP="00A63193">
            <w:pPr>
              <w:tabs>
                <w:tab w:val="left" w:pos="6663"/>
              </w:tabs>
              <w:rPr>
                <w:rFonts w:ascii="Times New Roman" w:hAnsi="Times New Roman"/>
                <w:b/>
                <w:sz w:val="32"/>
                <w:szCs w:val="32"/>
              </w:rPr>
            </w:pPr>
          </w:p>
        </w:tc>
        <w:tc>
          <w:tcPr>
            <w:tcW w:w="567" w:type="dxa"/>
          </w:tcPr>
          <w:p w:rsidR="00A63193" w:rsidRPr="00EB73E5" w:rsidRDefault="00A63193" w:rsidP="00A63193">
            <w:pPr>
              <w:tabs>
                <w:tab w:val="left" w:pos="6663"/>
              </w:tabs>
              <w:rPr>
                <w:rFonts w:ascii="Times New Roman" w:hAnsi="Times New Roman"/>
                <w:b/>
                <w:sz w:val="32"/>
                <w:szCs w:val="32"/>
              </w:rPr>
            </w:pPr>
          </w:p>
        </w:tc>
        <w:tc>
          <w:tcPr>
            <w:tcW w:w="5275" w:type="dxa"/>
          </w:tcPr>
          <w:p w:rsidR="00A63193" w:rsidRPr="00EB73E5" w:rsidRDefault="00A63193" w:rsidP="00A63193">
            <w:pPr>
              <w:tabs>
                <w:tab w:val="left" w:pos="6663"/>
              </w:tabs>
              <w:rPr>
                <w:rFonts w:ascii="Times New Roman" w:hAnsi="Times New Roman"/>
                <w:b/>
                <w:sz w:val="32"/>
                <w:szCs w:val="32"/>
              </w:rPr>
            </w:pPr>
          </w:p>
        </w:tc>
      </w:tr>
      <w:tr w:rsidR="00A63193" w:rsidTr="00EB73E5">
        <w:tc>
          <w:tcPr>
            <w:tcW w:w="4253" w:type="dxa"/>
          </w:tcPr>
          <w:p w:rsidR="00A63193" w:rsidRPr="00746E37" w:rsidRDefault="00205015" w:rsidP="00E66027">
            <w:pPr>
              <w:tabs>
                <w:tab w:val="left" w:pos="6663"/>
              </w:tabs>
              <w:rPr>
                <w:rFonts w:ascii="Times New Roman" w:hAnsi="Times New Roman"/>
                <w:b/>
                <w:sz w:val="32"/>
                <w:szCs w:val="32"/>
              </w:rPr>
            </w:pPr>
            <w:r>
              <w:rPr>
                <w:rFonts w:ascii="Times New Roman" w:hAnsi="Times New Roman"/>
                <w:b/>
                <w:sz w:val="32"/>
                <w:szCs w:val="32"/>
              </w:rPr>
              <w:t xml:space="preserve">Raum </w:t>
            </w:r>
            <w:r w:rsidR="00922CAE">
              <w:rPr>
                <w:rFonts w:ascii="Times New Roman" w:hAnsi="Times New Roman"/>
                <w:b/>
                <w:sz w:val="32"/>
                <w:szCs w:val="32"/>
              </w:rPr>
              <w:t xml:space="preserve">PH </w:t>
            </w:r>
            <w:r w:rsidR="00E66027">
              <w:rPr>
                <w:rFonts w:ascii="Times New Roman" w:hAnsi="Times New Roman"/>
                <w:b/>
                <w:sz w:val="32"/>
                <w:szCs w:val="32"/>
              </w:rPr>
              <w:t>0.133</w:t>
            </w:r>
          </w:p>
        </w:tc>
        <w:tc>
          <w:tcPr>
            <w:tcW w:w="567" w:type="dxa"/>
          </w:tcPr>
          <w:p w:rsidR="00A63193" w:rsidRPr="00205015" w:rsidRDefault="00A63193" w:rsidP="00A63193">
            <w:pPr>
              <w:tabs>
                <w:tab w:val="left" w:pos="6663"/>
              </w:tabs>
              <w:rPr>
                <w:rFonts w:ascii="Times New Roman" w:hAnsi="Times New Roman"/>
                <w:b/>
                <w:sz w:val="32"/>
                <w:szCs w:val="32"/>
              </w:rPr>
            </w:pPr>
          </w:p>
        </w:tc>
        <w:tc>
          <w:tcPr>
            <w:tcW w:w="5275" w:type="dxa"/>
          </w:tcPr>
          <w:p w:rsidR="00A63193" w:rsidRPr="00205015" w:rsidRDefault="00A63193" w:rsidP="00A63193">
            <w:pPr>
              <w:tabs>
                <w:tab w:val="left" w:pos="6663"/>
              </w:tabs>
              <w:rPr>
                <w:rFonts w:ascii="Times New Roman" w:hAnsi="Times New Roman"/>
                <w:b/>
                <w:sz w:val="32"/>
                <w:szCs w:val="32"/>
              </w:rPr>
            </w:pPr>
            <w:r w:rsidRPr="00205015">
              <w:rPr>
                <w:rFonts w:ascii="Times New Roman" w:hAnsi="Times New Roman"/>
                <w:b/>
                <w:sz w:val="32"/>
                <w:szCs w:val="32"/>
              </w:rPr>
              <w:t>spricht über das Thema:</w:t>
            </w:r>
          </w:p>
        </w:tc>
      </w:tr>
    </w:tbl>
    <w:p w:rsidR="005E774D" w:rsidRDefault="005E774D" w:rsidP="00DF702E">
      <w:pPr>
        <w:tabs>
          <w:tab w:val="left" w:pos="4678"/>
        </w:tabs>
        <w:rPr>
          <w:rFonts w:ascii="Times New Roman" w:hAnsi="Times New Roman"/>
          <w:b/>
          <w:sz w:val="30"/>
          <w:szCs w:val="30"/>
        </w:rPr>
      </w:pPr>
    </w:p>
    <w:p w:rsidR="00A63193" w:rsidRDefault="00A63193" w:rsidP="00DF702E">
      <w:pPr>
        <w:tabs>
          <w:tab w:val="left" w:pos="4678"/>
        </w:tabs>
        <w:rPr>
          <w:rFonts w:ascii="Times New Roman" w:hAnsi="Times New Roman"/>
          <w:b/>
          <w:sz w:val="30"/>
          <w:szCs w:val="30"/>
        </w:rPr>
      </w:pPr>
    </w:p>
    <w:p w:rsidR="00922CAE" w:rsidRDefault="00922CAE" w:rsidP="00922CAE">
      <w:pPr>
        <w:tabs>
          <w:tab w:val="left" w:pos="4678"/>
        </w:tabs>
        <w:jc w:val="center"/>
        <w:rPr>
          <w:rFonts w:ascii="Times New Roman" w:hAnsi="Times New Roman"/>
          <w:b/>
          <w:i/>
          <w:sz w:val="48"/>
          <w:szCs w:val="48"/>
        </w:rPr>
      </w:pPr>
    </w:p>
    <w:p w:rsidR="00922CAE" w:rsidRDefault="00922CAE" w:rsidP="00922CAE">
      <w:pPr>
        <w:tabs>
          <w:tab w:val="left" w:pos="4678"/>
        </w:tabs>
        <w:jc w:val="center"/>
        <w:rPr>
          <w:rFonts w:ascii="Times New Roman" w:hAnsi="Times New Roman"/>
          <w:b/>
          <w:i/>
          <w:sz w:val="48"/>
          <w:szCs w:val="48"/>
        </w:rPr>
      </w:pPr>
    </w:p>
    <w:p w:rsidR="00E647D8" w:rsidRPr="00922CAE" w:rsidRDefault="001D3001" w:rsidP="00922CAE">
      <w:pPr>
        <w:tabs>
          <w:tab w:val="left" w:pos="4678"/>
        </w:tabs>
        <w:jc w:val="center"/>
        <w:rPr>
          <w:rFonts w:ascii="Times New Roman" w:hAnsi="Times New Roman"/>
          <w:b/>
          <w:i/>
          <w:sz w:val="48"/>
          <w:szCs w:val="48"/>
        </w:rPr>
      </w:pPr>
      <w:r w:rsidRPr="00EB73E5">
        <w:rPr>
          <w:rFonts w:ascii="Times New Roman" w:hAnsi="Times New Roman"/>
          <w:b/>
          <w:i/>
          <w:sz w:val="48"/>
          <w:szCs w:val="48"/>
        </w:rPr>
        <w:t>„</w:t>
      </w:r>
      <w:r w:rsidR="00E66027">
        <w:rPr>
          <w:rFonts w:ascii="Times New Roman" w:hAnsi="Times New Roman"/>
          <w:b/>
          <w:i/>
          <w:sz w:val="56"/>
          <w:szCs w:val="56"/>
        </w:rPr>
        <w:t>Flucht und Zeugenschaft</w:t>
      </w:r>
      <w:r w:rsidR="00E647D8" w:rsidRPr="00922CAE">
        <w:rPr>
          <w:rFonts w:ascii="Times New Roman" w:hAnsi="Times New Roman"/>
          <w:b/>
          <w:i/>
          <w:sz w:val="48"/>
          <w:szCs w:val="48"/>
        </w:rPr>
        <w:t>“</w:t>
      </w:r>
    </w:p>
    <w:p w:rsidR="00D80219" w:rsidRPr="00922CAE" w:rsidRDefault="00D80219" w:rsidP="00746E37">
      <w:pPr>
        <w:jc w:val="center"/>
        <w:rPr>
          <w:rFonts w:ascii="Times New Roman" w:hAnsi="Times New Roman"/>
          <w:sz w:val="28"/>
          <w:szCs w:val="28"/>
        </w:rPr>
      </w:pPr>
    </w:p>
    <w:p w:rsidR="00A63193" w:rsidRDefault="00A63193" w:rsidP="00746E37">
      <w:pPr>
        <w:jc w:val="center"/>
        <w:rPr>
          <w:rFonts w:ascii="Times New Roman" w:hAnsi="Times New Roman"/>
          <w:sz w:val="28"/>
          <w:szCs w:val="28"/>
        </w:rPr>
      </w:pPr>
    </w:p>
    <w:p w:rsidR="00922CAE" w:rsidRPr="00922CAE" w:rsidRDefault="00922CAE" w:rsidP="00746E37">
      <w:pPr>
        <w:jc w:val="center"/>
        <w:rPr>
          <w:rFonts w:ascii="Times New Roman" w:hAnsi="Times New Roman"/>
          <w:sz w:val="28"/>
          <w:szCs w:val="28"/>
        </w:rPr>
      </w:pPr>
    </w:p>
    <w:p w:rsidR="00434EB2" w:rsidRPr="00922CAE" w:rsidRDefault="00434EB2" w:rsidP="00434EB2">
      <w:pPr>
        <w:jc w:val="center"/>
        <w:rPr>
          <w:rFonts w:ascii="Times New Roman" w:hAnsi="Times New Roman"/>
          <w:b/>
          <w:sz w:val="28"/>
          <w:szCs w:val="28"/>
        </w:rPr>
      </w:pPr>
      <w:r w:rsidRPr="00922CAE">
        <w:rPr>
          <w:rFonts w:ascii="Times New Roman" w:hAnsi="Times New Roman"/>
          <w:b/>
          <w:sz w:val="28"/>
          <w:szCs w:val="28"/>
        </w:rPr>
        <w:t>Hierzu ergeht herzliche Einladung.</w:t>
      </w:r>
    </w:p>
    <w:p w:rsidR="00434EB2" w:rsidRPr="00922CAE" w:rsidRDefault="00434EB2" w:rsidP="00434EB2">
      <w:pPr>
        <w:jc w:val="center"/>
        <w:rPr>
          <w:rFonts w:ascii="Times New Roman" w:hAnsi="Times New Roman"/>
          <w:b/>
          <w:sz w:val="28"/>
          <w:szCs w:val="28"/>
        </w:rPr>
      </w:pPr>
      <w:r w:rsidRPr="00922CAE">
        <w:rPr>
          <w:rFonts w:ascii="Times New Roman" w:hAnsi="Times New Roman"/>
          <w:b/>
          <w:sz w:val="28"/>
          <w:szCs w:val="28"/>
        </w:rPr>
        <w:t xml:space="preserve">Ich bitte, die Studierenden in den Lehrveranstaltungen </w:t>
      </w:r>
    </w:p>
    <w:p w:rsidR="00434EB2" w:rsidRPr="00922CAE" w:rsidRDefault="00434EB2" w:rsidP="00434EB2">
      <w:pPr>
        <w:jc w:val="center"/>
        <w:rPr>
          <w:rFonts w:ascii="Times New Roman" w:hAnsi="Times New Roman"/>
          <w:b/>
          <w:sz w:val="28"/>
          <w:szCs w:val="28"/>
        </w:rPr>
      </w:pPr>
      <w:r w:rsidRPr="00922CAE">
        <w:rPr>
          <w:rFonts w:ascii="Times New Roman" w:hAnsi="Times New Roman"/>
          <w:b/>
          <w:sz w:val="28"/>
          <w:szCs w:val="28"/>
        </w:rPr>
        <w:t>auf diesen Vortrag hinzuweisen.</w:t>
      </w:r>
    </w:p>
    <w:p w:rsidR="00434EB2" w:rsidRDefault="00434EB2" w:rsidP="00434EB2">
      <w:pPr>
        <w:jc w:val="center"/>
        <w:rPr>
          <w:rFonts w:ascii="Times New Roman" w:hAnsi="Times New Roman"/>
          <w:sz w:val="28"/>
          <w:szCs w:val="28"/>
        </w:rPr>
      </w:pPr>
    </w:p>
    <w:p w:rsidR="00922CAE" w:rsidRDefault="00922CAE" w:rsidP="00434EB2">
      <w:pPr>
        <w:jc w:val="center"/>
        <w:rPr>
          <w:rFonts w:ascii="Times New Roman" w:hAnsi="Times New Roman"/>
          <w:sz w:val="28"/>
          <w:szCs w:val="28"/>
        </w:rPr>
      </w:pPr>
    </w:p>
    <w:p w:rsidR="00434EB2" w:rsidRDefault="00434EB2" w:rsidP="00434EB2">
      <w:pPr>
        <w:jc w:val="center"/>
        <w:rPr>
          <w:rFonts w:ascii="Times New Roman" w:hAnsi="Times New Roman"/>
          <w:sz w:val="28"/>
          <w:szCs w:val="28"/>
        </w:rPr>
      </w:pPr>
      <w:r>
        <w:rPr>
          <w:rFonts w:ascii="Times New Roman" w:hAnsi="Times New Roman"/>
          <w:sz w:val="28"/>
          <w:szCs w:val="28"/>
        </w:rPr>
        <w:t>Prof. Dr. Bernd Ludwig, Direktor des Philosophischen Seminars</w:t>
      </w:r>
    </w:p>
    <w:p w:rsidR="00A63193" w:rsidRDefault="00A63193" w:rsidP="00746E37">
      <w:pPr>
        <w:jc w:val="center"/>
        <w:rPr>
          <w:rFonts w:ascii="Times New Roman" w:hAnsi="Times New Roman"/>
          <w:sz w:val="28"/>
          <w:szCs w:val="28"/>
        </w:rPr>
      </w:pPr>
    </w:p>
    <w:p w:rsidR="00E66027" w:rsidRDefault="00E66027" w:rsidP="00746E37">
      <w:pPr>
        <w:jc w:val="center"/>
        <w:rPr>
          <w:rFonts w:ascii="Times New Roman" w:hAnsi="Times New Roman"/>
          <w:sz w:val="28"/>
          <w:szCs w:val="28"/>
        </w:rPr>
      </w:pPr>
    </w:p>
    <w:p w:rsidR="00E66027" w:rsidRDefault="00E66027" w:rsidP="00E66027">
      <w:pPr>
        <w:jc w:val="both"/>
        <w:rPr>
          <w:rFonts w:ascii="Times New Roman" w:hAnsi="Times New Roman"/>
          <w:b/>
        </w:rPr>
      </w:pPr>
      <w:r w:rsidRPr="00EA1F3C">
        <w:rPr>
          <w:rFonts w:ascii="Times New Roman" w:hAnsi="Times New Roman"/>
          <w:b/>
        </w:rPr>
        <w:t>Abstract</w:t>
      </w:r>
    </w:p>
    <w:p w:rsidR="00E66027" w:rsidRDefault="00E66027" w:rsidP="00E66027">
      <w:pPr>
        <w:jc w:val="both"/>
      </w:pPr>
    </w:p>
    <w:p w:rsidR="00E66027" w:rsidRDefault="00E66027" w:rsidP="00E66027">
      <w:pPr>
        <w:jc w:val="both"/>
        <w:rPr>
          <w:rFonts w:ascii="Times New Roman" w:hAnsi="Times New Roman"/>
          <w:sz w:val="28"/>
          <w:szCs w:val="28"/>
        </w:rPr>
      </w:pPr>
      <w:r w:rsidRPr="00EA1F3C">
        <w:rPr>
          <w:rFonts w:ascii="Times New Roman" w:hAnsi="Times New Roman"/>
        </w:rPr>
        <w:t>Bei der Frage, was wir Geflüchteten schulden, vernachlässigen wir gelegentlich deren spezifisch biographische Situation. Am Beispiel syrischer Geflüchteter in Europa wird für die staatliche und gesellschaftliche Pflicht argumentiert, die strukturellen Bedingungen der Kultivierung sekundärer Zeugenschaft zu schaffen. Sekundäre Zeugenschaft ergibt sich aus dem kognitiven und emotionalen Nachvollzug eines durch Unrechtserfahrungen bedingten Leids von Personen (der primären Zeugen) und beinhaltet eine im Bewusstsein um das Leid dieser Personen gründende Motivation zur Herstellung von Gerechtigkeit. Dieser Gedanke wird anhand konkreter Beispiele aus der Praxis illustriert. Ein Hauptaugenmerk gilt der Frage, wie sich Zeugenschaft in neu entstehenden Freundschaften entwickeln und durch gemeinsame politische Arbeit fortgeführt werden kann.</w:t>
      </w:r>
    </w:p>
    <w:sectPr w:rsidR="00E66027" w:rsidSect="00C24193">
      <w:pgSz w:w="11907" w:h="16840"/>
      <w:pgMar w:top="907" w:right="851" w:bottom="1021" w:left="851"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1B"/>
    <w:rsid w:val="00076A63"/>
    <w:rsid w:val="00081648"/>
    <w:rsid w:val="000857DD"/>
    <w:rsid w:val="00145AD9"/>
    <w:rsid w:val="001D3001"/>
    <w:rsid w:val="00205015"/>
    <w:rsid w:val="002612AB"/>
    <w:rsid w:val="002E7B3E"/>
    <w:rsid w:val="00333084"/>
    <w:rsid w:val="00364524"/>
    <w:rsid w:val="003C591E"/>
    <w:rsid w:val="00434EB2"/>
    <w:rsid w:val="004417FD"/>
    <w:rsid w:val="004A3FB9"/>
    <w:rsid w:val="00512A25"/>
    <w:rsid w:val="005518E8"/>
    <w:rsid w:val="005E61DE"/>
    <w:rsid w:val="005E774D"/>
    <w:rsid w:val="0065518B"/>
    <w:rsid w:val="00681F0D"/>
    <w:rsid w:val="0069499B"/>
    <w:rsid w:val="006A36C4"/>
    <w:rsid w:val="006F1567"/>
    <w:rsid w:val="00746E37"/>
    <w:rsid w:val="0083281B"/>
    <w:rsid w:val="00922CAE"/>
    <w:rsid w:val="0095180A"/>
    <w:rsid w:val="00974E60"/>
    <w:rsid w:val="00997F39"/>
    <w:rsid w:val="009E0D3A"/>
    <w:rsid w:val="00A24040"/>
    <w:rsid w:val="00A446D1"/>
    <w:rsid w:val="00A63193"/>
    <w:rsid w:val="00A86093"/>
    <w:rsid w:val="00A95180"/>
    <w:rsid w:val="00AC62DF"/>
    <w:rsid w:val="00B65157"/>
    <w:rsid w:val="00B94270"/>
    <w:rsid w:val="00BA40DA"/>
    <w:rsid w:val="00C24193"/>
    <w:rsid w:val="00C4382B"/>
    <w:rsid w:val="00C64E36"/>
    <w:rsid w:val="00C7699E"/>
    <w:rsid w:val="00D80219"/>
    <w:rsid w:val="00D86160"/>
    <w:rsid w:val="00DA5DD1"/>
    <w:rsid w:val="00DB7FFD"/>
    <w:rsid w:val="00DC2C5B"/>
    <w:rsid w:val="00DC392F"/>
    <w:rsid w:val="00DD27F1"/>
    <w:rsid w:val="00DF702E"/>
    <w:rsid w:val="00E4057B"/>
    <w:rsid w:val="00E50CD6"/>
    <w:rsid w:val="00E647D8"/>
    <w:rsid w:val="00E66027"/>
    <w:rsid w:val="00E74706"/>
    <w:rsid w:val="00EB73E5"/>
    <w:rsid w:val="00FA28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984FF263-9C7E-4592-89D3-CDE57473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4193"/>
    <w:rPr>
      <w:rFonts w:ascii="Courier" w:hAnsi="Courie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40DA"/>
    <w:rPr>
      <w:rFonts w:ascii="Tahoma" w:hAnsi="Tahoma" w:cs="Tahoma"/>
      <w:sz w:val="16"/>
      <w:szCs w:val="16"/>
    </w:rPr>
  </w:style>
  <w:style w:type="table" w:styleId="Tabellenraster">
    <w:name w:val="Table Grid"/>
    <w:basedOn w:val="NormaleTabelle"/>
    <w:uiPriority w:val="59"/>
    <w:rsid w:val="00A6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basedOn w:val="Standard"/>
    <w:uiPriority w:val="99"/>
    <w:rsid w:val="00205015"/>
    <w:rPr>
      <w:rFonts w:ascii="Times New Roman" w:eastAsiaTheme="minorHAnsi" w:hAnsi="Times New Roman"/>
      <w:szCs w:val="24"/>
    </w:rPr>
  </w:style>
  <w:style w:type="character" w:customStyle="1" w:styleId="tm7">
    <w:name w:val="tm7"/>
    <w:basedOn w:val="Absatz-Standardschriftart"/>
    <w:rsid w:val="00205015"/>
  </w:style>
  <w:style w:type="paragraph" w:styleId="NurText">
    <w:name w:val="Plain Text"/>
    <w:basedOn w:val="Standard"/>
    <w:link w:val="NurTextZchn"/>
    <w:uiPriority w:val="99"/>
    <w:unhideWhenUsed/>
    <w:rsid w:val="00EB73E5"/>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EB73E5"/>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80621">
      <w:bodyDiv w:val="1"/>
      <w:marLeft w:val="0"/>
      <w:marRight w:val="0"/>
      <w:marTop w:val="0"/>
      <w:marBottom w:val="0"/>
      <w:divBdr>
        <w:top w:val="none" w:sz="0" w:space="0" w:color="auto"/>
        <w:left w:val="none" w:sz="0" w:space="0" w:color="auto"/>
        <w:bottom w:val="none" w:sz="0" w:space="0" w:color="auto"/>
        <w:right w:val="none" w:sz="0" w:space="0" w:color="auto"/>
      </w:divBdr>
    </w:div>
    <w:div w:id="147136294">
      <w:bodyDiv w:val="1"/>
      <w:marLeft w:val="0"/>
      <w:marRight w:val="0"/>
      <w:marTop w:val="0"/>
      <w:marBottom w:val="0"/>
      <w:divBdr>
        <w:top w:val="none" w:sz="0" w:space="0" w:color="auto"/>
        <w:left w:val="none" w:sz="0" w:space="0" w:color="auto"/>
        <w:bottom w:val="none" w:sz="0" w:space="0" w:color="auto"/>
        <w:right w:val="none" w:sz="0" w:space="0" w:color="auto"/>
      </w:divBdr>
    </w:div>
    <w:div w:id="19067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1176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aushang brandom</vt:lpstr>
    </vt:vector>
  </TitlesOfParts>
  <Company>Philosophisches Seminar</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aushang brandom</dc:title>
  <dc:creator>Sekretariat</dc:creator>
  <cp:lastModifiedBy>Holler, Gisela</cp:lastModifiedBy>
  <cp:revision>4</cp:revision>
  <cp:lastPrinted>2016-07-14T07:50:00Z</cp:lastPrinted>
  <dcterms:created xsi:type="dcterms:W3CDTF">2016-07-14T07:48:00Z</dcterms:created>
  <dcterms:modified xsi:type="dcterms:W3CDTF">2016-07-14T07:51:00Z</dcterms:modified>
</cp:coreProperties>
</file>